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Предлоги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– это служебная часть речи, выражающая зависимость </w:t>
      </w: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существительного, числительного, местоимения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от других слов в словосочетании, а значит, и в предложении. Например,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считать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до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семи, выйти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из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класса, бежать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 за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зайцем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и т.д. Служат для выражения различных смысловых отношений между словами в предложении…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Термин “предлог” буквально значит “перед словом”. Предлоги обычно стоят перед словом, с которым они сочетаются.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Есть четыре предлога, которые могут </w:t>
      </w:r>
      <w:proofErr w:type="gram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находится</w:t>
      </w:r>
      <w:proofErr w:type="gram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 перед словами, с которыми они сочетаются,  и после них :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ради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скуки  – скуки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ради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; идти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навстречу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друзьям – вперед, заре </w:t>
      </w:r>
      <w:proofErr w:type="spellStart"/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навстречу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;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вопреки</w:t>
      </w:r>
      <w:proofErr w:type="spellEnd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ожиданиям – рассудку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вопреки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;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наперекор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стихиям – судьбе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наперекор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По частотности употребления занимает четвертое место после существительных, глаголов и местоимений.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Общее грамматическое значение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предлогов – обозначение подчинительной связи между знаменательными словами.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Предлог не имеет самостоятельного значения. Под значением предлога понимают грамматические отношения, которые он выражает в сочетании с косвенным падежом существительного.  См.</w:t>
      </w:r>
      <w:hyperlink r:id="rId6" w:anchor="pr-zn" w:history="1">
        <w:r w:rsidRPr="00396CCC">
          <w:rPr>
            <w:rFonts w:ascii="Arial" w:eastAsia="Times New Roman" w:hAnsi="Arial" w:cs="Arial"/>
            <w:color w:val="0000CD"/>
            <w:sz w:val="18"/>
            <w:szCs w:val="18"/>
            <w:lang w:eastAsia="ru-RU"/>
          </w:rPr>
          <w:t> Типы предлогов  по значению</w:t>
        </w:r>
      </w:hyperlink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Предлоги (так же как и окончания знаменательных слов) служат для связи слов. </w:t>
      </w:r>
      <w:proofErr w:type="spell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Например</w:t>
      </w:r>
      <w:proofErr w:type="gram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,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б</w:t>
      </w:r>
      <w:proofErr w:type="gramEnd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ежать</w:t>
      </w:r>
      <w:proofErr w:type="spellEnd"/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 за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зайц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ем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 подчинение существительного выражается не только предлогом, но и окончанием существительного.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Употребление предлогов с падежами:</w:t>
      </w:r>
    </w:p>
    <w:p w:rsidR="00396CCC" w:rsidRPr="00396CCC" w:rsidRDefault="00396CCC" w:rsidP="00396CCC">
      <w:pPr>
        <w:numPr>
          <w:ilvl w:val="0"/>
          <w:numId w:val="1"/>
        </w:numPr>
        <w:shd w:val="clear" w:color="auto" w:fill="F8F8FF"/>
        <w:spacing w:after="0" w:line="270" w:lineRule="atLeast"/>
        <w:ind w:left="525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чаще всего </w:t>
      </w: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с одним падежо</w:t>
      </w:r>
      <w:proofErr w:type="gramStart"/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м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(</w:t>
      </w:r>
      <w:proofErr w:type="gram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Производные предлоги обычно употребляются с одним каким-либо падежом.):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proofErr w:type="gram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 родительным: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без, вокруг, для, до, из, от, у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и др.</w:t>
      </w:r>
      <w:proofErr w:type="gramEnd"/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 дательным: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к,  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предлоги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 xml:space="preserve">благодаря, вопреки, согласно, наперекор, </w:t>
      </w:r>
      <w:proofErr w:type="spellStart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навстречу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употребляются</w:t>
      </w:r>
      <w:proofErr w:type="spell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 только с </w:t>
      </w:r>
      <w:proofErr w:type="spell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дат</w:t>
      </w:r>
      <w:proofErr w:type="gram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.п</w:t>
      </w:r>
      <w:proofErr w:type="spellEnd"/>
      <w:proofErr w:type="gram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 (</w:t>
      </w:r>
      <w:proofErr w:type="spell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напр.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,согласно</w:t>
      </w:r>
      <w:proofErr w:type="spellEnd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 xml:space="preserve"> уговору, вопреки предсказанию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),  и др.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 винительным: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про, сквозь, через, несмотря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на и др.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 творительным: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между, над, перед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;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 предложным: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о, при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</w:t>
      </w:r>
    </w:p>
    <w:p w:rsidR="00396CCC" w:rsidRPr="00396CCC" w:rsidRDefault="00396CCC" w:rsidP="00396CCC">
      <w:pPr>
        <w:numPr>
          <w:ilvl w:val="0"/>
          <w:numId w:val="1"/>
        </w:numPr>
        <w:shd w:val="clear" w:color="auto" w:fill="F8F8FF"/>
        <w:spacing w:after="0" w:line="270" w:lineRule="atLeast"/>
        <w:ind w:left="525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с двумя падежами: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в, на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– с винительным и предложным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за, под – с винительным и творительным</w:t>
      </w:r>
    </w:p>
    <w:p w:rsidR="00396CCC" w:rsidRPr="00396CCC" w:rsidRDefault="00396CCC" w:rsidP="00396CCC">
      <w:pPr>
        <w:numPr>
          <w:ilvl w:val="0"/>
          <w:numId w:val="1"/>
        </w:numPr>
        <w:shd w:val="clear" w:color="auto" w:fill="F8F8FF"/>
        <w:spacing w:after="0" w:line="270" w:lineRule="atLeast"/>
        <w:ind w:left="525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с тремя падежами: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с,  по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– с родительным, винительным и творительным</w:t>
      </w:r>
    </w:p>
    <w:p w:rsidR="00396CCC" w:rsidRPr="00396CCC" w:rsidRDefault="00396CCC" w:rsidP="00396CCC">
      <w:pPr>
        <w:numPr>
          <w:ilvl w:val="1"/>
          <w:numId w:val="1"/>
        </w:numPr>
        <w:shd w:val="clear" w:color="auto" w:fill="F8F8FF"/>
        <w:spacing w:after="0" w:line="270" w:lineRule="atLeast"/>
        <w:ind w:left="1050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 именительным падежом предлоги не употребляются.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По предлогу можно определить падеж имени, что важно для правильного написания безударных окончаний :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у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дерев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а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(род</w:t>
      </w:r>
      <w:proofErr w:type="gram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.п</w:t>
      </w:r>
      <w:proofErr w:type="gram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.),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от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город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а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(род.п.),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без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ошибок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(род.п.); </w:t>
      </w: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к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дерев</w:t>
      </w: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у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(дат.п.),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к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город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у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(дат.п.).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Специфических морфологических и морфемных признаков у предлогов нет. </w:t>
      </w:r>
      <w:proofErr w:type="spellStart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См.</w:t>
      </w:r>
      <w:hyperlink r:id="rId7" w:history="1">
        <w:r w:rsidRPr="00396CCC">
          <w:rPr>
            <w:rFonts w:ascii="Arial" w:eastAsia="Times New Roman" w:hAnsi="Arial" w:cs="Arial"/>
            <w:color w:val="0000CD"/>
            <w:sz w:val="18"/>
            <w:szCs w:val="18"/>
            <w:lang w:eastAsia="ru-RU"/>
          </w:rPr>
          <w:t>Морфологический</w:t>
        </w:r>
        <w:proofErr w:type="spellEnd"/>
        <w:r w:rsidRPr="00396CCC">
          <w:rPr>
            <w:rFonts w:ascii="Arial" w:eastAsia="Times New Roman" w:hAnsi="Arial" w:cs="Arial"/>
            <w:color w:val="0000CD"/>
            <w:sz w:val="18"/>
            <w:szCs w:val="18"/>
            <w:lang w:eastAsia="ru-RU"/>
          </w:rPr>
          <w:t xml:space="preserve"> разбор предлога. </w:t>
        </w:r>
      </w:hyperlink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br/>
      </w:r>
      <w:r w:rsidRPr="00396CCC">
        <w:rPr>
          <w:rFonts w:ascii="Verdana" w:eastAsia="Times New Roman" w:hAnsi="Verdana" w:cs="Arial"/>
          <w:color w:val="BF3625"/>
          <w:sz w:val="18"/>
          <w:szCs w:val="18"/>
          <w:lang w:eastAsia="ru-RU"/>
        </w:rPr>
        <w:t>Предлоги</w:t>
      </w:r>
      <w:r w:rsidRPr="00396CCC">
        <w:rPr>
          <w:rFonts w:ascii="Arial" w:eastAsia="Times New Roman" w:hAnsi="Arial" w:cs="Arial"/>
          <w:b/>
          <w:bCs/>
          <w:color w:val="BF3625"/>
          <w:sz w:val="18"/>
          <w:szCs w:val="18"/>
          <w:lang w:eastAsia="ru-RU"/>
        </w:rPr>
        <w:t> не изменяютс</w:t>
      </w:r>
      <w:proofErr w:type="gramStart"/>
      <w:r w:rsidRPr="00396CCC">
        <w:rPr>
          <w:rFonts w:ascii="Arial" w:eastAsia="Times New Roman" w:hAnsi="Arial" w:cs="Arial"/>
          <w:b/>
          <w:bCs/>
          <w:color w:val="BF3625"/>
          <w:sz w:val="18"/>
          <w:szCs w:val="18"/>
          <w:lang w:eastAsia="ru-RU"/>
        </w:rPr>
        <w:t>я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-</w:t>
      </w:r>
      <w:proofErr w:type="gram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 морфологический признак предлога.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Синтаксические функции: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Предлоги, как все служебные слова, не могут употребляться самостоятельно, они всегда относятся к какому-нибудь существительному (или слову, употребляемому в функции существительного).  Поэтому предлоги никогда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не выступают в качестве членов предложения.</w:t>
      </w: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 Предлоги не являются членами предложения, но входят в их состав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br/>
        <w:t>Пр. 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Однажды 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в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студеную зимнюю пору, Я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из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лесу вышел.  (</w:t>
      </w:r>
      <w:proofErr w:type="spellStart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Н.Некрасов</w:t>
      </w:r>
      <w:proofErr w:type="spellEnd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)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br/>
        <w:t>Сочетание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в зимнюю пору 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связано со сказуемым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вышел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и отвечает на вопрос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когда</w:t>
      </w:r>
      <w:proofErr w:type="gramStart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?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. </w:t>
      </w:r>
      <w:proofErr w:type="gram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Сочетание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из лесу 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также связано со сказуемым и отвечает на вопрос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откуда?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Предлоги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в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, </w:t>
      </w:r>
      <w:proofErr w:type="spellStart"/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из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входят</w:t>
      </w:r>
      <w:proofErr w:type="spellEnd"/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 xml:space="preserve"> в состав обстоятельств места.</w:t>
      </w:r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proofErr w:type="gramStart"/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Предлоги – синонимы: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при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(школе) –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у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(школы) –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около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(школы); 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из-за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(болезни) -</w:t>
      </w:r>
      <w:r w:rsidRPr="00396CCC">
        <w:rPr>
          <w:rFonts w:ascii="Arial" w:eastAsia="Times New Roman" w:hAnsi="Arial" w:cs="Arial"/>
          <w:b/>
          <w:bCs/>
          <w:i/>
          <w:iCs/>
          <w:color w:val="2F4F4F"/>
          <w:sz w:val="18"/>
          <w:szCs w:val="18"/>
          <w:lang w:eastAsia="ru-RU"/>
        </w:rPr>
        <w:t> по причине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(болезни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) и др.</w:t>
      </w:r>
      <w:proofErr w:type="gramEnd"/>
    </w:p>
    <w:p w:rsidR="00396CCC" w:rsidRPr="00396CCC" w:rsidRDefault="00396CCC" w:rsidP="00396CCC">
      <w:pPr>
        <w:shd w:val="clear" w:color="auto" w:fill="F8F8FF"/>
        <w:spacing w:after="0" w:line="270" w:lineRule="atLeast"/>
        <w:jc w:val="both"/>
        <w:rPr>
          <w:rFonts w:ascii="Arial" w:eastAsia="Times New Roman" w:hAnsi="Arial" w:cs="Arial"/>
          <w:color w:val="2F4F4F"/>
          <w:sz w:val="18"/>
          <w:szCs w:val="18"/>
          <w:lang w:eastAsia="ru-RU"/>
        </w:rPr>
      </w:pPr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 </w:t>
      </w:r>
      <w:proofErr w:type="gramStart"/>
      <w:r w:rsidRPr="00396CCC">
        <w:rPr>
          <w:rFonts w:ascii="Arial" w:eastAsia="Times New Roman" w:hAnsi="Arial" w:cs="Arial"/>
          <w:b/>
          <w:bCs/>
          <w:color w:val="2F4F4F"/>
          <w:sz w:val="18"/>
          <w:szCs w:val="18"/>
          <w:lang w:eastAsia="ru-RU"/>
        </w:rPr>
        <w:t>Предлоги – антонимы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: </w:t>
      </w:r>
      <w:r w:rsidRPr="00396CCC">
        <w:rPr>
          <w:rFonts w:ascii="Arial" w:eastAsia="Times New Roman" w:hAnsi="Arial" w:cs="Arial"/>
          <w:i/>
          <w:iCs/>
          <w:color w:val="2F4F4F"/>
          <w:sz w:val="18"/>
          <w:szCs w:val="18"/>
          <w:lang w:eastAsia="ru-RU"/>
        </w:rPr>
        <w:t> в  (школу) – из (школы),  до (уроков) – после (уроков), над – под</w:t>
      </w:r>
      <w:r w:rsidRPr="00396CCC">
        <w:rPr>
          <w:rFonts w:ascii="Arial" w:eastAsia="Times New Roman" w:hAnsi="Arial" w:cs="Arial"/>
          <w:color w:val="2F4F4F"/>
          <w:sz w:val="18"/>
          <w:szCs w:val="18"/>
          <w:lang w:eastAsia="ru-RU"/>
        </w:rPr>
        <w:t>.</w:t>
      </w:r>
      <w:proofErr w:type="gramEnd"/>
    </w:p>
    <w:p w:rsidR="004856F9" w:rsidRDefault="004856F9">
      <w:bookmarkStart w:id="0" w:name="_GoBack"/>
      <w:bookmarkEnd w:id="0"/>
    </w:p>
    <w:sectPr w:rsidR="0048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1495"/>
    <w:multiLevelType w:val="multilevel"/>
    <w:tmpl w:val="77B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B"/>
    <w:rsid w:val="00396CCC"/>
    <w:rsid w:val="004856F9"/>
    <w:rsid w:val="00F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CCC"/>
    <w:rPr>
      <w:b/>
      <w:bCs/>
    </w:rPr>
  </w:style>
  <w:style w:type="character" w:customStyle="1" w:styleId="apple-converted-space">
    <w:name w:val="apple-converted-space"/>
    <w:basedOn w:val="a0"/>
    <w:rsid w:val="00396CCC"/>
  </w:style>
  <w:style w:type="character" w:styleId="a5">
    <w:name w:val="Emphasis"/>
    <w:basedOn w:val="a0"/>
    <w:uiPriority w:val="20"/>
    <w:qFormat/>
    <w:rsid w:val="00396CCC"/>
    <w:rPr>
      <w:i/>
      <w:iCs/>
    </w:rPr>
  </w:style>
  <w:style w:type="character" w:styleId="a6">
    <w:name w:val="Hyperlink"/>
    <w:basedOn w:val="a0"/>
    <w:uiPriority w:val="99"/>
    <w:semiHidden/>
    <w:unhideWhenUsed/>
    <w:rsid w:val="00396CCC"/>
    <w:rPr>
      <w:color w:val="0000FF"/>
      <w:u w:val="single"/>
    </w:rPr>
  </w:style>
  <w:style w:type="character" w:customStyle="1" w:styleId="rule">
    <w:name w:val="rule"/>
    <w:basedOn w:val="a0"/>
    <w:rsid w:val="00396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CCC"/>
    <w:rPr>
      <w:b/>
      <w:bCs/>
    </w:rPr>
  </w:style>
  <w:style w:type="character" w:customStyle="1" w:styleId="apple-converted-space">
    <w:name w:val="apple-converted-space"/>
    <w:basedOn w:val="a0"/>
    <w:rsid w:val="00396CCC"/>
  </w:style>
  <w:style w:type="character" w:styleId="a5">
    <w:name w:val="Emphasis"/>
    <w:basedOn w:val="a0"/>
    <w:uiPriority w:val="20"/>
    <w:qFormat/>
    <w:rsid w:val="00396CCC"/>
    <w:rPr>
      <w:i/>
      <w:iCs/>
    </w:rPr>
  </w:style>
  <w:style w:type="character" w:styleId="a6">
    <w:name w:val="Hyperlink"/>
    <w:basedOn w:val="a0"/>
    <w:uiPriority w:val="99"/>
    <w:semiHidden/>
    <w:unhideWhenUsed/>
    <w:rsid w:val="00396CCC"/>
    <w:rPr>
      <w:color w:val="0000FF"/>
      <w:u w:val="single"/>
    </w:rPr>
  </w:style>
  <w:style w:type="character" w:customStyle="1" w:styleId="rule">
    <w:name w:val="rule"/>
    <w:basedOn w:val="a0"/>
    <w:rsid w:val="0039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utrus.com/morpholog/morfologicheskiy-razbor-predl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trus.com/morpholog/razryadyi-predlogov-po-znachen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Илхом</dc:creator>
  <cp:keywords/>
  <dc:description/>
  <cp:lastModifiedBy>Илхом</cp:lastModifiedBy>
  <cp:revision>2</cp:revision>
  <dcterms:created xsi:type="dcterms:W3CDTF">2015-05-19T18:19:00Z</dcterms:created>
  <dcterms:modified xsi:type="dcterms:W3CDTF">2015-05-19T18:19:00Z</dcterms:modified>
</cp:coreProperties>
</file>